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6904">
      <w:pPr>
        <w:pStyle w:val="Nagwek1"/>
        <w:spacing w:before="74"/>
      </w:pPr>
      <w:r>
        <w:rPr>
          <w:color w:val="000009"/>
        </w:rPr>
        <w:t>W celu uzyskania dokładnych pomiarów należy się odpowiednio przygotować do badania;</w:t>
      </w:r>
    </w:p>
    <w:p w:rsidR="00000000" w:rsidRDefault="003B6904">
      <w:pPr>
        <w:pStyle w:val="ListParagraph"/>
        <w:numPr>
          <w:ilvl w:val="0"/>
          <w:numId w:val="3"/>
        </w:numPr>
        <w:tabs>
          <w:tab w:val="left" w:pos="824"/>
        </w:tabs>
        <w:spacing w:before="120"/>
        <w:ind w:right="473"/>
      </w:pPr>
      <w:r>
        <w:rPr>
          <w:color w:val="000009"/>
          <w:sz w:val="24"/>
        </w:rPr>
        <w:t>Przynajmniej 3h przed badaniem nie spożywać żadnych produktów żywnościowych</w:t>
      </w:r>
      <w:r>
        <w:rPr>
          <w:color w:val="000009"/>
          <w:spacing w:val="-25"/>
          <w:sz w:val="24"/>
        </w:rPr>
        <w:t xml:space="preserve"> </w:t>
      </w:r>
      <w:r>
        <w:rPr>
          <w:color w:val="000009"/>
          <w:sz w:val="24"/>
        </w:rPr>
        <w:t xml:space="preserve">oraz napojów </w:t>
      </w:r>
      <w:r>
        <w:rPr>
          <w:color w:val="000009"/>
          <w:spacing w:val="-5"/>
          <w:sz w:val="24"/>
        </w:rPr>
        <w:t xml:space="preserve">(ew. </w:t>
      </w:r>
      <w:r>
        <w:rPr>
          <w:color w:val="000009"/>
          <w:sz w:val="24"/>
        </w:rPr>
        <w:t>woda mineralna w niewielkich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ilościach).</w:t>
      </w:r>
    </w:p>
    <w:p w:rsidR="00000000" w:rsidRDefault="003B6904">
      <w:pPr>
        <w:pStyle w:val="ListParagraph"/>
        <w:numPr>
          <w:ilvl w:val="0"/>
          <w:numId w:val="3"/>
        </w:numPr>
        <w:tabs>
          <w:tab w:val="left" w:pos="824"/>
        </w:tabs>
      </w:pPr>
      <w:r>
        <w:rPr>
          <w:color w:val="000009"/>
          <w:sz w:val="24"/>
        </w:rPr>
        <w:t>Nie powinno się wykonywać ćwiczeń fiz</w:t>
      </w:r>
      <w:r>
        <w:rPr>
          <w:color w:val="000009"/>
          <w:sz w:val="24"/>
        </w:rPr>
        <w:t>ycznych co najmniej 12h przed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badaniem.</w:t>
      </w:r>
    </w:p>
    <w:p w:rsidR="00000000" w:rsidRDefault="003B6904">
      <w:pPr>
        <w:pStyle w:val="ListParagraph"/>
        <w:numPr>
          <w:ilvl w:val="0"/>
          <w:numId w:val="3"/>
        </w:numPr>
        <w:tabs>
          <w:tab w:val="left" w:pos="824"/>
        </w:tabs>
      </w:pPr>
      <w:r>
        <w:rPr>
          <w:color w:val="000009"/>
          <w:sz w:val="24"/>
        </w:rPr>
        <w:t>24h przed badaniem nie spożywać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alkoholu.</w:t>
      </w:r>
    </w:p>
    <w:p w:rsidR="00000000" w:rsidRDefault="003B6904">
      <w:pPr>
        <w:pStyle w:val="ListParagraph"/>
        <w:numPr>
          <w:ilvl w:val="0"/>
          <w:numId w:val="3"/>
        </w:numPr>
        <w:tabs>
          <w:tab w:val="left" w:pos="824"/>
        </w:tabs>
      </w:pPr>
      <w:r>
        <w:rPr>
          <w:color w:val="000009"/>
          <w:sz w:val="24"/>
        </w:rPr>
        <w:t>Jeżeli to możliwe, nie zażywać leków diuretycznych przynajmniej 5dni przed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badaniem.</w:t>
      </w:r>
    </w:p>
    <w:p w:rsidR="00000000" w:rsidRDefault="003B6904">
      <w:pPr>
        <w:pStyle w:val="ListParagraph"/>
        <w:numPr>
          <w:ilvl w:val="0"/>
          <w:numId w:val="3"/>
        </w:numPr>
        <w:tabs>
          <w:tab w:val="left" w:pos="824"/>
        </w:tabs>
      </w:pPr>
      <w:r>
        <w:rPr>
          <w:color w:val="000009"/>
          <w:sz w:val="24"/>
        </w:rPr>
        <w:t>Nie wykonywać peelingu stóp i nie smarować kremem przez 24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3"/>
          <w:sz w:val="24"/>
        </w:rPr>
        <w:t>godziny.</w:t>
      </w:r>
    </w:p>
    <w:p w:rsidR="00000000" w:rsidRDefault="003B6904">
      <w:pPr>
        <w:pStyle w:val="ListParagraph"/>
        <w:numPr>
          <w:ilvl w:val="0"/>
          <w:numId w:val="3"/>
        </w:numPr>
        <w:tabs>
          <w:tab w:val="left" w:pos="824"/>
        </w:tabs>
      </w:pPr>
      <w:r>
        <w:rPr>
          <w:color w:val="000009"/>
          <w:sz w:val="24"/>
        </w:rPr>
        <w:t>Należy opróżnić pęche</w:t>
      </w:r>
      <w:r>
        <w:rPr>
          <w:color w:val="000009"/>
          <w:sz w:val="24"/>
        </w:rPr>
        <w:t>rz 30 minut przed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badaniem.</w:t>
      </w:r>
    </w:p>
    <w:p w:rsidR="00000000" w:rsidRDefault="003B6904">
      <w:pPr>
        <w:pStyle w:val="Nagwek1"/>
        <w:ind w:left="235"/>
      </w:pPr>
      <w:r>
        <w:rPr>
          <w:color w:val="000009"/>
        </w:rPr>
        <w:t>Przeciwwskazania do pomiaru:</w:t>
      </w:r>
    </w:p>
    <w:p w:rsidR="00000000" w:rsidRDefault="003B6904">
      <w:pPr>
        <w:pStyle w:val="ListParagraph"/>
        <w:numPr>
          <w:ilvl w:val="0"/>
          <w:numId w:val="2"/>
        </w:numPr>
        <w:tabs>
          <w:tab w:val="left" w:pos="824"/>
        </w:tabs>
        <w:spacing w:before="120"/>
      </w:pPr>
      <w:r>
        <w:rPr>
          <w:color w:val="000009"/>
          <w:sz w:val="24"/>
        </w:rPr>
        <w:t>ciąża</w:t>
      </w:r>
    </w:p>
    <w:p w:rsidR="00000000" w:rsidRDefault="003B6904">
      <w:pPr>
        <w:pStyle w:val="ListParagraph"/>
        <w:numPr>
          <w:ilvl w:val="0"/>
          <w:numId w:val="2"/>
        </w:numPr>
        <w:tabs>
          <w:tab w:val="left" w:pos="824"/>
        </w:tabs>
        <w:spacing w:before="1"/>
        <w:ind w:right="205"/>
      </w:pPr>
      <w:r>
        <w:rPr>
          <w:color w:val="000009"/>
          <w:sz w:val="24"/>
        </w:rPr>
        <w:t>metalowe implanty wszczepione w organizm, np. rozrusznik serca, metalowe szwy na</w:t>
      </w:r>
      <w:r>
        <w:rPr>
          <w:color w:val="000009"/>
          <w:spacing w:val="-31"/>
          <w:sz w:val="24"/>
        </w:rPr>
        <w:t xml:space="preserve"> </w:t>
      </w:r>
      <w:r>
        <w:rPr>
          <w:color w:val="000009"/>
          <w:sz w:val="24"/>
        </w:rPr>
        <w:t>sercu lub głównych naczyniach krwionośnych</w:t>
      </w:r>
    </w:p>
    <w:p w:rsidR="00000000" w:rsidRDefault="003B6904">
      <w:pPr>
        <w:pStyle w:val="ListParagraph"/>
        <w:numPr>
          <w:ilvl w:val="0"/>
          <w:numId w:val="2"/>
        </w:numPr>
        <w:tabs>
          <w:tab w:val="left" w:pos="824"/>
        </w:tabs>
        <w:spacing w:line="342" w:lineRule="exact"/>
      </w:pPr>
      <w:r>
        <w:rPr>
          <w:color w:val="000009"/>
          <w:sz w:val="24"/>
        </w:rPr>
        <w:t>cewnik wypełniony płynem lub urządzenie elektroniczne o dobrej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przewo</w:t>
      </w:r>
      <w:r>
        <w:rPr>
          <w:color w:val="000009"/>
          <w:sz w:val="24"/>
        </w:rPr>
        <w:t>dności</w:t>
      </w:r>
    </w:p>
    <w:p w:rsidR="00000000" w:rsidRDefault="003B6904">
      <w:pPr>
        <w:pStyle w:val="ListParagraph"/>
        <w:numPr>
          <w:ilvl w:val="0"/>
          <w:numId w:val="2"/>
        </w:numPr>
        <w:tabs>
          <w:tab w:val="left" w:pos="824"/>
        </w:tabs>
        <w:spacing w:before="1"/>
      </w:pPr>
      <w:r>
        <w:rPr>
          <w:color w:val="000009"/>
          <w:sz w:val="24"/>
        </w:rPr>
        <w:t>sztuczne serce , choroby zakaźne,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nowotwory.</w:t>
      </w:r>
    </w:p>
    <w:p w:rsidR="00000000" w:rsidRDefault="003B6904">
      <w:pPr>
        <w:pStyle w:val="Nagwek1"/>
        <w:spacing w:before="119"/>
        <w:ind w:left="175"/>
      </w:pPr>
      <w:r>
        <w:rPr>
          <w:color w:val="000009"/>
        </w:rPr>
        <w:t>Co to jest bioimpedancja?</w:t>
      </w:r>
    </w:p>
    <w:p w:rsidR="00000000" w:rsidRDefault="003B6904">
      <w:pPr>
        <w:pStyle w:val="Tekstpodstawowy"/>
        <w:spacing w:before="120"/>
        <w:ind w:left="115" w:right="100" w:firstLine="0"/>
        <w:jc w:val="both"/>
      </w:pPr>
      <w:r>
        <w:rPr>
          <w:color w:val="000009"/>
        </w:rPr>
        <w:t>Badanie, które polega na zmierzeniu tkanek, przez które jest przepuszczany prąd elektryczny o niskim natężeniu. Stanowi wiarygodny, nieinwazyjny, bezpieczny i skuteczny sposób ba</w:t>
      </w:r>
      <w:r>
        <w:rPr>
          <w:color w:val="000009"/>
        </w:rPr>
        <w:t>dania składu ciała zarówno u osób zdrowych jak i chorych. Technika analizy bioimpedancji ciała (BIA) opiera się na zasadzie, która mówi, że masa tkanki mięśniowej, kości i wody, obejmuje ok. 60-75% wody elektrolitycznej przez co przewodzi elektryczność zna</w:t>
      </w:r>
      <w:r>
        <w:rPr>
          <w:color w:val="000009"/>
        </w:rPr>
        <w:t>cznie lepiej niż masa tłuszczowa, która zawiera niewielką ilość wody (5-10%). Prąd z łatwością przepływa przez płyny w mięśniach i innych tkankach ciała.</w:t>
      </w:r>
    </w:p>
    <w:p w:rsidR="00000000" w:rsidRDefault="003B6904">
      <w:pPr>
        <w:pStyle w:val="Nagwek1"/>
        <w:ind w:left="175"/>
      </w:pPr>
      <w:r>
        <w:rPr>
          <w:color w:val="000009"/>
        </w:rPr>
        <w:t>Do czego jest przydatna analiza składu ciała?</w:t>
      </w:r>
    </w:p>
    <w:p w:rsidR="00000000" w:rsidRDefault="003B6904">
      <w:pPr>
        <w:pStyle w:val="Tekstpodstawowy"/>
        <w:spacing w:before="120"/>
        <w:ind w:left="115" w:right="160" w:firstLine="0"/>
        <w:jc w:val="both"/>
      </w:pPr>
      <w:r>
        <w:rPr>
          <w:color w:val="000009"/>
        </w:rPr>
        <w:t>Analiza bioimpedancji elektrycznej umożliwia ocenę skład</w:t>
      </w:r>
      <w:r>
        <w:rPr>
          <w:color w:val="000009"/>
        </w:rPr>
        <w:t>u ciała oraz monitorowanie zmian w ciele na przestrzeni czasu np. podczas programu dietetycznego. Pozwala to na wgląd w kluczowe wskaźniki zdrowotne, które umożliwiają kontrolowanie wpływu stylu życia na organizm. Ponadto jest przydatna w ocenie stanu zdro</w:t>
      </w:r>
      <w:r>
        <w:rPr>
          <w:color w:val="000009"/>
        </w:rPr>
        <w:t>wia pacjentów po przebytych ciężkich chorobach czy intensywnym leczeniu powodującym wyniszczenie organizmu. Można ją stosować u osób obu płci, w każdym wieku, praktycznie niezależnie od stanu zdrowia. Wyniki otrzymane za pomocą analizy impedancji bioelektr</w:t>
      </w:r>
      <w:r>
        <w:rPr>
          <w:color w:val="000009"/>
        </w:rPr>
        <w:t>ycznej są łatwe do uzyskania oraz wysoce powtarzalne. Regularne pomiary bioimpedancji podczas programu dietetycznego umożliwiają kontrolę zmian składu ciała i pomagają odpowiednio korygować dietę, gdyż bardzo często nie zmiana wagi, lecz zmiana składu ciał</w:t>
      </w:r>
      <w:r>
        <w:rPr>
          <w:color w:val="000009"/>
        </w:rPr>
        <w:t>a jest wyznacznikiem efektywności prowadzonego leczenia dietetycznego.</w:t>
      </w:r>
    </w:p>
    <w:p w:rsidR="00000000" w:rsidRDefault="003B6904">
      <w:pPr>
        <w:pStyle w:val="Tekstpodstawowy"/>
        <w:ind w:left="0" w:firstLine="0"/>
        <w:rPr>
          <w:sz w:val="26"/>
        </w:rPr>
      </w:pPr>
    </w:p>
    <w:p w:rsidR="00000000" w:rsidRDefault="003B6904">
      <w:pPr>
        <w:pStyle w:val="Nagwek1"/>
        <w:spacing w:before="217"/>
      </w:pPr>
      <w:r>
        <w:rPr>
          <w:color w:val="000009"/>
        </w:rPr>
        <w:t>Analizator</w:t>
      </w:r>
    </w:p>
    <w:p w:rsidR="00000000" w:rsidRDefault="003B6904">
      <w:pPr>
        <w:pStyle w:val="Tekstpodstawowy"/>
        <w:spacing w:before="120"/>
        <w:ind w:left="115" w:right="100" w:firstLine="0"/>
        <w:jc w:val="both"/>
      </w:pPr>
      <w:r>
        <w:rPr>
          <w:color w:val="000009"/>
        </w:rPr>
        <w:t xml:space="preserve">Jeżeli chodzi o sam Analizator to dzięki wieloczęstotliwościowemu pomiarowi pozwala na specjalistyczny pomiar składu ciała z uwzględnieniem zarówno podstawowych parametrów, </w:t>
      </w:r>
      <w:r>
        <w:rPr>
          <w:color w:val="000009"/>
        </w:rPr>
        <w:t>m.in.: zawartość tkanki tłuszczowej, beztłuszczowej, wody, masy tkanek miękkich, jak i bardziej zaawansowanych, takich jak zawartość protein i minerałów, oceny wisceralnej tkanki tłuszczowej. Określenie poszczególnych komponentów w ciele, ocena podstawowej</w:t>
      </w:r>
      <w:r>
        <w:rPr>
          <w:color w:val="000009"/>
        </w:rPr>
        <w:t xml:space="preserve"> przemiany materii oraz wieku metabolicznego umożliwia określenie typu sylwetki badanego, jak również ustalenie indywidualnych zaleceń związanych z aktywnością fizyczną i kalorycznością diety. Analizator pozwala również na określenie składu ciała w poszcze</w:t>
      </w:r>
      <w:r>
        <w:rPr>
          <w:color w:val="000009"/>
        </w:rPr>
        <w:t>gólnych kończynach i tułowiu osobno.</w:t>
      </w:r>
    </w:p>
    <w:p w:rsidR="00000000" w:rsidRDefault="003B6904">
      <w:pPr>
        <w:pStyle w:val="Tekstpodstawowy"/>
        <w:spacing w:before="120"/>
        <w:ind w:left="115" w:firstLine="0"/>
        <w:sectPr w:rsidR="00000000">
          <w:type w:val="continuous"/>
          <w:pgSz w:w="11906" w:h="16838"/>
          <w:pgMar w:top="1134" w:right="1134" w:bottom="1134" w:left="1134" w:header="708" w:footer="708" w:gutter="0"/>
          <w:cols w:space="708"/>
          <w:docGrid w:linePitch="312" w:charSpace="-2049"/>
        </w:sectPr>
      </w:pPr>
      <w:r>
        <w:rPr>
          <w:color w:val="000009"/>
        </w:rPr>
        <w:t>Analizator Składu Ciała JAWON MEDICAL IOI-353 posiada certyfikat EC0197 oraz spełnia wymagania dyrektywy MDD93/42EEC w zakresie urządzeń medycznych.</w:t>
      </w:r>
    </w:p>
    <w:p w:rsidR="00000000" w:rsidRDefault="003B6904">
      <w:pPr>
        <w:spacing w:before="70"/>
        <w:ind w:left="175"/>
      </w:pPr>
      <w:r>
        <w:rPr>
          <w:b/>
          <w:color w:val="000009"/>
          <w:sz w:val="28"/>
        </w:rPr>
        <w:lastRenderedPageBreak/>
        <w:t>Przeciwwskazania do analizy składu masy ciała metodą BIA:</w:t>
      </w:r>
    </w:p>
    <w:p w:rsidR="00000000" w:rsidRDefault="003B6904">
      <w:pPr>
        <w:pStyle w:val="Tekstpodstawowy"/>
        <w:ind w:left="0" w:firstLine="0"/>
        <w:rPr>
          <w:b/>
          <w:sz w:val="28"/>
        </w:rPr>
      </w:pPr>
    </w:p>
    <w:p w:rsidR="00000000" w:rsidRDefault="003B6904">
      <w:pPr>
        <w:pStyle w:val="ListParagraph"/>
        <w:numPr>
          <w:ilvl w:val="0"/>
          <w:numId w:val="2"/>
        </w:numPr>
        <w:tabs>
          <w:tab w:val="left" w:pos="824"/>
        </w:tabs>
      </w:pPr>
      <w:r>
        <w:rPr>
          <w:color w:val="000009"/>
          <w:sz w:val="28"/>
        </w:rPr>
        <w:t>ciąża</w:t>
      </w:r>
    </w:p>
    <w:p w:rsidR="00000000" w:rsidRDefault="003B6904">
      <w:pPr>
        <w:pStyle w:val="ListParagraph"/>
        <w:numPr>
          <w:ilvl w:val="0"/>
          <w:numId w:val="2"/>
        </w:numPr>
        <w:tabs>
          <w:tab w:val="left" w:pos="824"/>
        </w:tabs>
        <w:spacing w:before="1"/>
        <w:ind w:right="374"/>
      </w:pPr>
      <w:r>
        <w:rPr>
          <w:color w:val="000009"/>
          <w:sz w:val="28"/>
        </w:rPr>
        <w:t>metal</w:t>
      </w:r>
      <w:r>
        <w:rPr>
          <w:color w:val="000009"/>
          <w:sz w:val="28"/>
        </w:rPr>
        <w:t>owe implanty wszczepione w organizm, np. rozrusznik serca,</w:t>
      </w:r>
      <w:r>
        <w:rPr>
          <w:color w:val="000009"/>
          <w:spacing w:val="-30"/>
          <w:sz w:val="28"/>
        </w:rPr>
        <w:t xml:space="preserve"> </w:t>
      </w:r>
      <w:r>
        <w:rPr>
          <w:color w:val="000009"/>
          <w:sz w:val="28"/>
        </w:rPr>
        <w:t>metalowe szwy na sercu lub głównych naczyniach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krwionośnych</w:t>
      </w:r>
    </w:p>
    <w:p w:rsidR="00000000" w:rsidRDefault="003B6904">
      <w:pPr>
        <w:pStyle w:val="ListParagraph"/>
        <w:numPr>
          <w:ilvl w:val="0"/>
          <w:numId w:val="2"/>
        </w:numPr>
        <w:tabs>
          <w:tab w:val="left" w:pos="824"/>
        </w:tabs>
        <w:ind w:right="1642"/>
      </w:pPr>
      <w:r>
        <w:rPr>
          <w:color w:val="000009"/>
          <w:sz w:val="28"/>
        </w:rPr>
        <w:t>cewnik wypełniony płynem lub urządzenie elektroniczne o</w:t>
      </w:r>
      <w:r>
        <w:rPr>
          <w:color w:val="000009"/>
          <w:spacing w:val="-21"/>
          <w:sz w:val="28"/>
        </w:rPr>
        <w:t xml:space="preserve"> </w:t>
      </w:r>
      <w:r>
        <w:rPr>
          <w:color w:val="000009"/>
          <w:sz w:val="28"/>
        </w:rPr>
        <w:t>dobrej przewodności</w:t>
      </w:r>
    </w:p>
    <w:p w:rsidR="00000000" w:rsidRDefault="003B6904">
      <w:pPr>
        <w:pStyle w:val="ListParagraph"/>
        <w:numPr>
          <w:ilvl w:val="0"/>
          <w:numId w:val="2"/>
        </w:numPr>
        <w:tabs>
          <w:tab w:val="left" w:pos="824"/>
        </w:tabs>
      </w:pPr>
      <w:r>
        <w:rPr>
          <w:color w:val="000009"/>
          <w:sz w:val="28"/>
        </w:rPr>
        <w:t>sztuczne serce</w:t>
      </w:r>
    </w:p>
    <w:p w:rsidR="00000000" w:rsidRDefault="003B6904">
      <w:pPr>
        <w:pStyle w:val="ListParagraph"/>
        <w:numPr>
          <w:ilvl w:val="0"/>
          <w:numId w:val="2"/>
        </w:numPr>
        <w:tabs>
          <w:tab w:val="left" w:pos="824"/>
        </w:tabs>
        <w:spacing w:before="119"/>
      </w:pPr>
      <w:r>
        <w:rPr>
          <w:color w:val="000009"/>
          <w:sz w:val="28"/>
        </w:rPr>
        <w:t>choroby zakaźne,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nowotwory.</w:t>
      </w:r>
    </w:p>
    <w:p w:rsidR="00000000" w:rsidRDefault="003B6904">
      <w:pPr>
        <w:pStyle w:val="Tekstpodstawowy"/>
        <w:spacing w:before="10"/>
        <w:ind w:left="0" w:firstLine="0"/>
        <w:rPr>
          <w:sz w:val="48"/>
        </w:rPr>
      </w:pPr>
    </w:p>
    <w:p w:rsidR="00000000" w:rsidRDefault="003B6904">
      <w:pPr>
        <w:spacing w:before="1"/>
        <w:ind w:left="115"/>
      </w:pPr>
      <w:r>
        <w:rPr>
          <w:color w:val="000009"/>
          <w:sz w:val="30"/>
        </w:rPr>
        <w:t>Oświadczam, że za</w:t>
      </w:r>
      <w:r>
        <w:rPr>
          <w:color w:val="000009"/>
          <w:sz w:val="30"/>
        </w:rPr>
        <w:t>poznałam /łem/ się z przeciwwskazaniami do wykonania analizy, wymienione wyżej przeciwwskazania u mnie nie występują. wyrażam zgodę na przeprowadzenie analizy.</w:t>
      </w:r>
    </w:p>
    <w:p w:rsidR="00000000" w:rsidRDefault="003B6904">
      <w:pPr>
        <w:pStyle w:val="Tekstpodstawowy"/>
        <w:ind w:left="0" w:firstLine="0"/>
        <w:rPr>
          <w:sz w:val="32"/>
        </w:rPr>
      </w:pPr>
    </w:p>
    <w:p w:rsidR="00000000" w:rsidRDefault="003B6904">
      <w:pPr>
        <w:pStyle w:val="Tekstpodstawowy"/>
        <w:ind w:left="0" w:firstLine="0"/>
        <w:rPr>
          <w:sz w:val="32"/>
        </w:rPr>
      </w:pPr>
    </w:p>
    <w:p w:rsidR="00000000" w:rsidRDefault="003B6904">
      <w:pPr>
        <w:pStyle w:val="Tekstpodstawowy"/>
        <w:spacing w:before="2"/>
        <w:ind w:left="0" w:firstLine="0"/>
        <w:rPr>
          <w:sz w:val="27"/>
        </w:rPr>
      </w:pPr>
    </w:p>
    <w:p w:rsidR="00000000" w:rsidRDefault="003B6904">
      <w:pPr>
        <w:ind w:left="4880"/>
      </w:pPr>
      <w:r>
        <w:rPr>
          <w:color w:val="000009"/>
          <w:sz w:val="30"/>
        </w:rPr>
        <w:t>…</w:t>
      </w:r>
      <w:r>
        <w:rPr>
          <w:color w:val="000009"/>
          <w:sz w:val="30"/>
        </w:rPr>
        <w:t>.............................................................</w:t>
      </w:r>
    </w:p>
    <w:p w:rsidR="003B6904" w:rsidRDefault="003B6904">
      <w:pPr>
        <w:spacing w:before="121"/>
        <w:ind w:right="2031"/>
        <w:jc w:val="right"/>
      </w:pPr>
      <w:r>
        <w:rPr>
          <w:color w:val="000009"/>
          <w:sz w:val="20"/>
        </w:rPr>
        <w:t>(PODPIS)</w:t>
      </w:r>
    </w:p>
    <w:sectPr w:rsidR="003B6904">
      <w:pgSz w:w="11906" w:h="16838"/>
      <w:pgMar w:top="1340" w:right="1020" w:bottom="280" w:left="1020" w:header="708" w:footer="708" w:gutter="0"/>
      <w:cols w:space="708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824" w:hanging="284"/>
      </w:pPr>
      <w:rPr>
        <w:rFonts w:ascii="Symbol" w:hAnsi="Symbol" w:cs="Symbol"/>
        <w:color w:val="000009"/>
        <w:w w:val="100"/>
        <w:sz w:val="28"/>
        <w:szCs w:val="28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284"/>
      </w:pPr>
      <w:rPr>
        <w:rFonts w:ascii="Symbol" w:hAnsi="Symbol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28" w:hanging="284"/>
      </w:pPr>
      <w:rPr>
        <w:rFonts w:ascii="Symbol" w:hAnsi="Symbol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32" w:hanging="284"/>
      </w:pPr>
      <w:rPr>
        <w:rFonts w:ascii="Symbol" w:hAnsi="Symbol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36" w:hanging="284"/>
      </w:pPr>
      <w:rPr>
        <w:rFonts w:ascii="Symbol" w:hAnsi="Symbol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284"/>
      </w:pPr>
      <w:rPr>
        <w:rFonts w:ascii="Symbol" w:hAnsi="Symbol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44" w:hanging="284"/>
      </w:pPr>
      <w:rPr>
        <w:rFonts w:ascii="Symbol" w:hAnsi="Symbol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48" w:hanging="284"/>
      </w:pPr>
      <w:rPr>
        <w:rFonts w:ascii="Symbol" w:hAnsi="Symbol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52" w:hanging="284"/>
      </w:pPr>
      <w:rPr>
        <w:rFonts w:ascii="Symbol" w:hAnsi="Symbol"/>
        <w:lang w:val="pl-PL" w:eastAsia="en-US" w:bidi="ar-SA"/>
      </w:rPr>
    </w:lvl>
  </w:abstractNum>
  <w:abstractNum w:abstractNumId="2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824" w:hanging="284"/>
      </w:pPr>
      <w:rPr>
        <w:rFonts w:eastAsia="Times New Roman" w:cs="Times New Roman"/>
        <w:color w:val="000009"/>
        <w:spacing w:val="-16"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284"/>
      </w:pPr>
      <w:rPr>
        <w:rFonts w:ascii="Symbol" w:hAnsi="Symbol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28" w:hanging="284"/>
      </w:pPr>
      <w:rPr>
        <w:rFonts w:ascii="Symbol" w:hAnsi="Symbol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32" w:hanging="284"/>
      </w:pPr>
      <w:rPr>
        <w:rFonts w:ascii="Symbol" w:hAnsi="Symbol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36" w:hanging="284"/>
      </w:pPr>
      <w:rPr>
        <w:rFonts w:ascii="Symbol" w:hAnsi="Symbol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40" w:hanging="284"/>
      </w:pPr>
      <w:rPr>
        <w:rFonts w:ascii="Symbol" w:hAnsi="Symbol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44" w:hanging="284"/>
      </w:pPr>
      <w:rPr>
        <w:rFonts w:ascii="Symbol" w:hAnsi="Symbol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48" w:hanging="284"/>
      </w:pPr>
      <w:rPr>
        <w:rFonts w:ascii="Symbol" w:hAnsi="Symbol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52" w:hanging="284"/>
      </w:pPr>
      <w:rPr>
        <w:rFonts w:ascii="Symbol" w:hAnsi="Symbol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ttachedTemplate r:id="rId1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B6904"/>
    <w:rsid w:val="003B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120"/>
      <w:ind w:left="115" w:firstLine="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eastAsia="Symbol" w:cs="Symbol"/>
      <w:color w:val="000009"/>
      <w:w w:val="100"/>
      <w:sz w:val="28"/>
      <w:szCs w:val="28"/>
      <w:lang w:val="pl-PL" w:eastAsia="en-US" w:bidi="ar-SA"/>
    </w:rPr>
  </w:style>
  <w:style w:type="character" w:customStyle="1" w:styleId="ListLabel2">
    <w:name w:val="ListLabel 2"/>
    <w:rPr>
      <w:lang w:val="pl-PL" w:eastAsia="en-US" w:bidi="ar-SA"/>
    </w:rPr>
  </w:style>
  <w:style w:type="character" w:customStyle="1" w:styleId="ListLabel3">
    <w:name w:val="ListLabel 3"/>
    <w:rPr>
      <w:rFonts w:eastAsia="Times New Roman" w:cs="Times New Roman"/>
      <w:color w:val="000009"/>
      <w:spacing w:val="-16"/>
      <w:w w:val="100"/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ind w:left="824" w:hanging="284"/>
    </w:pPr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Paragraph">
    <w:name w:val="List Paragraph"/>
    <w:basedOn w:val="Normalny"/>
    <w:pPr>
      <w:ind w:left="824" w:hanging="284"/>
    </w:pPr>
  </w:style>
  <w:style w:type="paragraph" w:customStyle="1" w:styleId="TableParagraph">
    <w:name w:val="Table Paragraph"/>
    <w:basedOn w:val="Normalny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1-RACING-GRAFIKI-STRONY\Moje%20Prace\GRAFIKI%20DO%20STRON%20ROBIONYCH\Rok-2021\54%20-%20Bio_Malgorzata\QUIX\DO%20POBRANIA\nowe_pliki\nowe\Przygotowanie%20do%20bada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Przygotowanie do badania</Template>
  <TotalTime>1</TotalTime>
  <Pages>2</Pages>
  <Words>545</Words>
  <Characters>3274</Characters>
  <Application>Microsoft Office Word</Application>
  <DocSecurity>0</DocSecurity>
  <Lines>27</Lines>
  <Paragraphs>7</Paragraphs>
  <ScaleCrop>false</ScaleCrop>
  <Company>HP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Rakowska</dc:creator>
  <cp:lastModifiedBy>Renata Rakowska</cp:lastModifiedBy>
  <cp:revision>1</cp:revision>
  <cp:lastPrinted>2021-11-24T19:26:00Z</cp:lastPrinted>
  <dcterms:created xsi:type="dcterms:W3CDTF">2021-12-29T19:52:00Z</dcterms:created>
  <dcterms:modified xsi:type="dcterms:W3CDTF">2021-12-29T19:53:00Z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